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FD5B5" w14:textId="77777777" w:rsidR="00AE3ADB" w:rsidRDefault="00AE3ADB" w:rsidP="00136428">
      <w:pPr>
        <w:spacing w:line="259" w:lineRule="auto"/>
        <w:rPr>
          <w:rFonts w:ascii="Calibri" w:eastAsia="Calibri" w:hAnsi="Calibri"/>
          <w:b/>
          <w:bCs/>
          <w:noProof/>
        </w:rPr>
      </w:pPr>
    </w:p>
    <w:p w14:paraId="3396F6D5" w14:textId="7415D380" w:rsidR="00136428" w:rsidRDefault="00136428" w:rsidP="00136428">
      <w:pPr>
        <w:spacing w:line="259" w:lineRule="auto"/>
        <w:rPr>
          <w:rFonts w:ascii="Calibri" w:eastAsia="Calibri" w:hAnsi="Calibri"/>
        </w:rPr>
      </w:pPr>
      <w:r w:rsidRPr="002E7DC2">
        <w:rPr>
          <w:rFonts w:ascii="Calibri" w:eastAsia="Calibri" w:hAnsi="Calibri"/>
          <w:b/>
          <w:bCs/>
          <w:noProof/>
        </w:rPr>
        <w:t>Post #</w:t>
      </w:r>
      <w:r>
        <w:rPr>
          <w:rFonts w:ascii="Calibri" w:eastAsia="Calibri" w:hAnsi="Calibri"/>
          <w:b/>
          <w:bCs/>
          <w:noProof/>
        </w:rPr>
        <w:t>1</w:t>
      </w:r>
      <w:r>
        <w:rPr>
          <w:rFonts w:ascii="Calibri" w:eastAsia="Calibri" w:hAnsi="Calibri"/>
          <w:noProof/>
        </w:rPr>
        <w:t xml:space="preserve"> </w:t>
      </w:r>
    </w:p>
    <w:p w14:paraId="24CA8FC0" w14:textId="4F163166" w:rsidR="00911A0B" w:rsidRPr="00AE3ADB" w:rsidRDefault="00911A0B" w:rsidP="00136428">
      <w:pPr>
        <w:spacing w:line="259" w:lineRule="auto"/>
        <w:rPr>
          <w:rFonts w:ascii="Calibri" w:eastAsia="Calibri" w:hAnsi="Calibri"/>
        </w:rPr>
      </w:pPr>
      <w:r w:rsidRPr="00AE3ADB">
        <w:rPr>
          <w:rFonts w:ascii="Calibri" w:eastAsia="Calibri" w:hAnsi="Calibri"/>
        </w:rPr>
        <w:t>When it comes to pre-consultation, you can make telehealth work better for your practice and your patients. Get guides with trustworthy #telehealth tips from Telehealth.HHS.gov.</w:t>
      </w:r>
    </w:p>
    <w:p w14:paraId="1FDB6016" w14:textId="7FC97AD8" w:rsidR="00136428" w:rsidRDefault="00136428" w:rsidP="00136428">
      <w:pPr>
        <w:spacing w:line="259" w:lineRule="auto"/>
        <w:rPr>
          <w:rFonts w:ascii="Calibri" w:eastAsia="Calibri" w:hAnsi="Calibri"/>
          <w:b/>
          <w:bCs/>
        </w:rPr>
      </w:pPr>
      <w:r w:rsidRPr="002E7DC2">
        <w:rPr>
          <w:rFonts w:ascii="Calibri" w:eastAsia="Calibri" w:hAnsi="Calibri"/>
          <w:b/>
          <w:bCs/>
        </w:rPr>
        <w:t>[</w:t>
      </w:r>
      <w:r>
        <w:rPr>
          <w:rFonts w:ascii="Calibri" w:eastAsia="Calibri" w:hAnsi="Calibri"/>
          <w:b/>
          <w:bCs/>
        </w:rPr>
        <w:t xml:space="preserve">Recommendation: </w:t>
      </w:r>
      <w:r w:rsidRPr="002E7DC2">
        <w:rPr>
          <w:rFonts w:ascii="Calibri" w:eastAsia="Calibri" w:hAnsi="Calibri"/>
          <w:b/>
          <w:bCs/>
        </w:rPr>
        <w:t>Use in conjunction with HRSA-Telehealth-</w:t>
      </w:r>
      <w:r>
        <w:rPr>
          <w:rFonts w:ascii="Calibri" w:eastAsia="Calibri" w:hAnsi="Calibri"/>
          <w:b/>
          <w:bCs/>
        </w:rPr>
        <w:t>Provider-</w:t>
      </w:r>
      <w:proofErr w:type="spellStart"/>
      <w:r w:rsidR="00911A0B">
        <w:rPr>
          <w:rFonts w:ascii="Calibri" w:eastAsia="Calibri" w:hAnsi="Calibri"/>
          <w:b/>
          <w:bCs/>
        </w:rPr>
        <w:t>BestPractices</w:t>
      </w:r>
      <w:proofErr w:type="spellEnd"/>
      <w:r w:rsidRPr="002E7DC2">
        <w:rPr>
          <w:rFonts w:ascii="Calibri" w:eastAsia="Calibri" w:hAnsi="Calibri"/>
          <w:b/>
          <w:bCs/>
        </w:rPr>
        <w:t>]</w:t>
      </w:r>
    </w:p>
    <w:p w14:paraId="3E01E8E9" w14:textId="77777777" w:rsidR="00136428" w:rsidRDefault="00136428" w:rsidP="00136428">
      <w:pPr>
        <w:spacing w:line="259" w:lineRule="auto"/>
        <w:rPr>
          <w:rFonts w:ascii="Calibri" w:eastAsia="Calibri" w:hAnsi="Calibri"/>
          <w:b/>
          <w:bCs/>
          <w:noProof/>
        </w:rPr>
      </w:pPr>
    </w:p>
    <w:p w14:paraId="6A50FFF8" w14:textId="77777777" w:rsidR="00136428" w:rsidRDefault="00136428" w:rsidP="00136428">
      <w:pPr>
        <w:spacing w:line="259" w:lineRule="auto"/>
        <w:rPr>
          <w:rFonts w:ascii="Calibri" w:eastAsia="Calibri" w:hAnsi="Calibri"/>
        </w:rPr>
      </w:pPr>
      <w:r w:rsidRPr="002E7DC2">
        <w:rPr>
          <w:rFonts w:ascii="Calibri" w:eastAsia="Calibri" w:hAnsi="Calibri"/>
          <w:b/>
          <w:bCs/>
          <w:noProof/>
        </w:rPr>
        <w:t>Post #</w:t>
      </w:r>
      <w:r>
        <w:rPr>
          <w:rFonts w:ascii="Calibri" w:eastAsia="Calibri" w:hAnsi="Calibri"/>
          <w:b/>
          <w:bCs/>
          <w:noProof/>
        </w:rPr>
        <w:t>2</w:t>
      </w:r>
      <w:r>
        <w:rPr>
          <w:rFonts w:ascii="Calibri" w:eastAsia="Calibri" w:hAnsi="Calibri"/>
          <w:noProof/>
        </w:rPr>
        <w:t xml:space="preserve"> </w:t>
      </w:r>
    </w:p>
    <w:p w14:paraId="73CD3654" w14:textId="3A409711" w:rsidR="00911A0B" w:rsidRPr="004154CC" w:rsidRDefault="00911A0B" w:rsidP="00136428">
      <w:pPr>
        <w:spacing w:line="259" w:lineRule="auto"/>
        <w:rPr>
          <w:rFonts w:ascii="Calibri" w:eastAsia="Calibri" w:hAnsi="Calibri"/>
        </w:rPr>
      </w:pPr>
      <w:r w:rsidRPr="00911A0B">
        <w:rPr>
          <w:rFonts w:ascii="Calibri" w:eastAsia="Calibri" w:hAnsi="Calibri"/>
        </w:rPr>
        <w:t xml:space="preserve">Online options can make counseling accessible and convenient. </w:t>
      </w:r>
      <w:r>
        <w:rPr>
          <w:rFonts w:ascii="Calibri" w:eastAsia="Calibri" w:hAnsi="Calibri"/>
        </w:rPr>
        <w:t>P</w:t>
      </w:r>
      <w:r w:rsidRPr="00911A0B">
        <w:rPr>
          <w:rFonts w:ascii="Calibri" w:eastAsia="Calibri" w:hAnsi="Calibri"/>
        </w:rPr>
        <w:t>ower up your telehealth to learn what’s possible with #telehealth:</w:t>
      </w:r>
    </w:p>
    <w:p w14:paraId="7243D27D" w14:textId="003EF921" w:rsidR="00136428" w:rsidRDefault="00136428" w:rsidP="00136428">
      <w:pPr>
        <w:spacing w:line="259" w:lineRule="auto"/>
        <w:rPr>
          <w:rFonts w:ascii="Calibri" w:eastAsia="Calibri" w:hAnsi="Calibri"/>
          <w:b/>
          <w:bCs/>
        </w:rPr>
      </w:pPr>
      <w:r w:rsidRPr="002E7DC2">
        <w:rPr>
          <w:rFonts w:ascii="Calibri" w:eastAsia="Calibri" w:hAnsi="Calibri"/>
          <w:b/>
          <w:bCs/>
        </w:rPr>
        <w:t>[</w:t>
      </w:r>
      <w:r>
        <w:rPr>
          <w:rFonts w:ascii="Calibri" w:eastAsia="Calibri" w:hAnsi="Calibri"/>
          <w:b/>
          <w:bCs/>
        </w:rPr>
        <w:t xml:space="preserve">Recommendation: </w:t>
      </w:r>
      <w:r w:rsidRPr="002E7DC2">
        <w:rPr>
          <w:rFonts w:ascii="Calibri" w:eastAsia="Calibri" w:hAnsi="Calibri"/>
          <w:b/>
          <w:bCs/>
        </w:rPr>
        <w:t>Use in conjunction with HRSA-Telehealth-</w:t>
      </w:r>
      <w:r>
        <w:rPr>
          <w:rFonts w:ascii="Calibri" w:eastAsia="Calibri" w:hAnsi="Calibri"/>
          <w:b/>
          <w:bCs/>
        </w:rPr>
        <w:t>Provider-</w:t>
      </w:r>
      <w:r w:rsidR="00883114">
        <w:rPr>
          <w:rFonts w:ascii="Calibri" w:eastAsia="Calibri" w:hAnsi="Calibri"/>
          <w:b/>
          <w:bCs/>
        </w:rPr>
        <w:t>PowerUp2</w:t>
      </w:r>
      <w:r w:rsidRPr="002E7DC2">
        <w:rPr>
          <w:rFonts w:ascii="Calibri" w:eastAsia="Calibri" w:hAnsi="Calibri"/>
          <w:b/>
          <w:bCs/>
        </w:rPr>
        <w:t>-Animation]</w:t>
      </w:r>
    </w:p>
    <w:p w14:paraId="2EEF0829" w14:textId="77777777" w:rsidR="00136428" w:rsidRDefault="00136428" w:rsidP="00136428">
      <w:pPr>
        <w:spacing w:line="259" w:lineRule="auto"/>
        <w:rPr>
          <w:rFonts w:ascii="Calibri" w:eastAsia="Calibri" w:hAnsi="Calibri"/>
          <w:b/>
          <w:bCs/>
          <w:noProof/>
        </w:rPr>
      </w:pPr>
    </w:p>
    <w:p w14:paraId="2318E563" w14:textId="77777777" w:rsidR="00136428" w:rsidRDefault="00136428" w:rsidP="00136428">
      <w:pPr>
        <w:spacing w:line="259" w:lineRule="auto"/>
        <w:rPr>
          <w:rFonts w:ascii="Calibri" w:eastAsia="Calibri" w:hAnsi="Calibri"/>
        </w:rPr>
      </w:pPr>
      <w:r w:rsidRPr="002E7DC2">
        <w:rPr>
          <w:rFonts w:ascii="Calibri" w:eastAsia="Calibri" w:hAnsi="Calibri"/>
          <w:b/>
          <w:bCs/>
          <w:noProof/>
        </w:rPr>
        <w:t>Post #</w:t>
      </w:r>
      <w:r>
        <w:rPr>
          <w:rFonts w:ascii="Calibri" w:eastAsia="Calibri" w:hAnsi="Calibri"/>
          <w:b/>
          <w:bCs/>
          <w:noProof/>
        </w:rPr>
        <w:t>3</w:t>
      </w:r>
      <w:r>
        <w:rPr>
          <w:rFonts w:ascii="Calibri" w:eastAsia="Calibri" w:hAnsi="Calibri"/>
          <w:noProof/>
        </w:rPr>
        <w:t xml:space="preserve"> </w:t>
      </w:r>
    </w:p>
    <w:p w14:paraId="7F26E56D" w14:textId="5FE5C3A9" w:rsidR="00D46267" w:rsidRPr="004154CC" w:rsidRDefault="00D46267" w:rsidP="00136428">
      <w:pPr>
        <w:spacing w:line="259" w:lineRule="auto"/>
        <w:rPr>
          <w:rFonts w:ascii="Calibri" w:eastAsia="Calibri" w:hAnsi="Calibri"/>
        </w:rPr>
      </w:pPr>
      <w:r w:rsidRPr="00D46267">
        <w:rPr>
          <w:rFonts w:ascii="Calibri" w:eastAsia="Calibri" w:hAnsi="Calibri"/>
        </w:rPr>
        <w:t>Don't let changes to telehealth policy or reimbursements sneak up on you. Make sure you’re looped in to the latest at Telehealth.HHS.gov.</w:t>
      </w:r>
      <w:r>
        <w:rPr>
          <w:rFonts w:ascii="Calibri" w:eastAsia="Calibri" w:hAnsi="Calibri"/>
        </w:rPr>
        <w:t xml:space="preserve"> </w:t>
      </w:r>
    </w:p>
    <w:p w14:paraId="580B1073" w14:textId="2E47DD39" w:rsidR="00136428" w:rsidRDefault="00136428" w:rsidP="00136428">
      <w:pPr>
        <w:spacing w:line="259" w:lineRule="auto"/>
        <w:rPr>
          <w:rFonts w:ascii="Calibri" w:eastAsia="Calibri" w:hAnsi="Calibri"/>
          <w:b/>
          <w:bCs/>
        </w:rPr>
      </w:pPr>
      <w:r w:rsidRPr="002E7DC2">
        <w:rPr>
          <w:rFonts w:ascii="Calibri" w:eastAsia="Calibri" w:hAnsi="Calibri"/>
          <w:b/>
          <w:bCs/>
        </w:rPr>
        <w:t>[</w:t>
      </w:r>
      <w:r>
        <w:rPr>
          <w:rFonts w:ascii="Calibri" w:eastAsia="Calibri" w:hAnsi="Calibri"/>
          <w:b/>
          <w:bCs/>
        </w:rPr>
        <w:t xml:space="preserve">Recommendation: </w:t>
      </w:r>
      <w:r w:rsidRPr="002E7DC2">
        <w:rPr>
          <w:rFonts w:ascii="Calibri" w:eastAsia="Calibri" w:hAnsi="Calibri"/>
          <w:b/>
          <w:bCs/>
        </w:rPr>
        <w:t>Use in conjunction with HRSA-Telehealth-</w:t>
      </w:r>
      <w:r>
        <w:rPr>
          <w:rFonts w:ascii="Calibri" w:eastAsia="Calibri" w:hAnsi="Calibri"/>
          <w:b/>
          <w:bCs/>
        </w:rPr>
        <w:t>Provider-</w:t>
      </w:r>
      <w:proofErr w:type="spellStart"/>
      <w:r w:rsidR="00D46267">
        <w:rPr>
          <w:rFonts w:ascii="Calibri" w:eastAsia="Calibri" w:hAnsi="Calibri"/>
          <w:b/>
          <w:bCs/>
        </w:rPr>
        <w:t>StayCurrent</w:t>
      </w:r>
      <w:proofErr w:type="spellEnd"/>
      <w:r w:rsidRPr="002E7DC2">
        <w:rPr>
          <w:rFonts w:ascii="Calibri" w:eastAsia="Calibri" w:hAnsi="Calibri"/>
          <w:b/>
          <w:bCs/>
        </w:rPr>
        <w:t>]</w:t>
      </w:r>
    </w:p>
    <w:p w14:paraId="3B82F99F" w14:textId="77777777" w:rsidR="00136428" w:rsidRDefault="00136428" w:rsidP="00136428">
      <w:pPr>
        <w:spacing w:line="259" w:lineRule="auto"/>
        <w:rPr>
          <w:rFonts w:ascii="Calibri" w:eastAsia="Calibri" w:hAnsi="Calibri"/>
        </w:rPr>
      </w:pPr>
    </w:p>
    <w:p w14:paraId="2AAF2D8B" w14:textId="77777777" w:rsidR="00136428" w:rsidRDefault="00136428" w:rsidP="00136428">
      <w:pPr>
        <w:spacing w:line="259" w:lineRule="auto"/>
        <w:rPr>
          <w:rFonts w:ascii="Calibri" w:eastAsia="Calibri" w:hAnsi="Calibri"/>
        </w:rPr>
      </w:pPr>
      <w:r w:rsidRPr="002E7DC2">
        <w:rPr>
          <w:rFonts w:ascii="Calibri" w:eastAsia="Calibri" w:hAnsi="Calibri"/>
          <w:b/>
          <w:bCs/>
          <w:noProof/>
        </w:rPr>
        <w:t>Post #</w:t>
      </w:r>
      <w:r>
        <w:rPr>
          <w:rFonts w:ascii="Calibri" w:eastAsia="Calibri" w:hAnsi="Calibri"/>
          <w:b/>
          <w:bCs/>
          <w:noProof/>
        </w:rPr>
        <w:t>4</w:t>
      </w:r>
      <w:r>
        <w:rPr>
          <w:rFonts w:ascii="Calibri" w:eastAsia="Calibri" w:hAnsi="Calibri"/>
          <w:noProof/>
        </w:rPr>
        <w:t xml:space="preserve"> </w:t>
      </w:r>
    </w:p>
    <w:p w14:paraId="18ADE17C" w14:textId="38D70253" w:rsidR="007133A2" w:rsidRPr="004154CC" w:rsidRDefault="007133A2" w:rsidP="00136428">
      <w:pPr>
        <w:spacing w:line="259" w:lineRule="auto"/>
        <w:rPr>
          <w:rFonts w:ascii="Calibri" w:eastAsia="Calibri" w:hAnsi="Calibri"/>
        </w:rPr>
      </w:pPr>
      <w:r w:rsidRPr="007133A2">
        <w:rPr>
          <w:rFonts w:ascii="Calibri" w:eastAsia="Calibri" w:hAnsi="Calibri"/>
        </w:rPr>
        <w:t xml:space="preserve">Keep pace with patients’ changing expectations. Learn about </w:t>
      </w:r>
      <w:proofErr w:type="gramStart"/>
      <w:r w:rsidRPr="007133A2">
        <w:rPr>
          <w:rFonts w:ascii="Calibri" w:eastAsia="Calibri" w:hAnsi="Calibri"/>
        </w:rPr>
        <w:t>all of</w:t>
      </w:r>
      <w:proofErr w:type="gramEnd"/>
      <w:r w:rsidRPr="007133A2">
        <w:rPr>
          <w:rFonts w:ascii="Calibri" w:eastAsia="Calibri" w:hAnsi="Calibri"/>
        </w:rPr>
        <w:t xml:space="preserve"> the ways your practice can use telehealth at Telehealth.HHS.gov.</w:t>
      </w:r>
      <w:r>
        <w:rPr>
          <w:rFonts w:ascii="Calibri" w:eastAsia="Calibri" w:hAnsi="Calibri"/>
        </w:rPr>
        <w:t xml:space="preserve"> </w:t>
      </w:r>
    </w:p>
    <w:p w14:paraId="1E253E04" w14:textId="32ED3C10" w:rsidR="00DA3F79" w:rsidRPr="00136428" w:rsidRDefault="00136428" w:rsidP="00136428">
      <w:pPr>
        <w:spacing w:line="259" w:lineRule="auto"/>
        <w:rPr>
          <w:rFonts w:ascii="Calibri" w:eastAsia="Calibri" w:hAnsi="Calibri"/>
          <w:b/>
          <w:bCs/>
        </w:rPr>
      </w:pPr>
      <w:r w:rsidRPr="002E7DC2">
        <w:rPr>
          <w:rFonts w:ascii="Calibri" w:eastAsia="Calibri" w:hAnsi="Calibri"/>
          <w:b/>
          <w:bCs/>
        </w:rPr>
        <w:t>[</w:t>
      </w:r>
      <w:r>
        <w:rPr>
          <w:rFonts w:ascii="Calibri" w:eastAsia="Calibri" w:hAnsi="Calibri"/>
          <w:b/>
          <w:bCs/>
        </w:rPr>
        <w:t xml:space="preserve">Recommendation: </w:t>
      </w:r>
      <w:r w:rsidRPr="002E7DC2">
        <w:rPr>
          <w:rFonts w:ascii="Calibri" w:eastAsia="Calibri" w:hAnsi="Calibri"/>
          <w:b/>
          <w:bCs/>
        </w:rPr>
        <w:t>Use in conjunction with HRSA-Telehealth-</w:t>
      </w:r>
      <w:r>
        <w:rPr>
          <w:rFonts w:ascii="Calibri" w:eastAsia="Calibri" w:hAnsi="Calibri"/>
          <w:b/>
          <w:bCs/>
        </w:rPr>
        <w:t>Provider-</w:t>
      </w:r>
      <w:proofErr w:type="spellStart"/>
      <w:r w:rsidR="00574858">
        <w:rPr>
          <w:rFonts w:ascii="Calibri" w:eastAsia="Calibri" w:hAnsi="Calibri"/>
          <w:b/>
          <w:bCs/>
        </w:rPr>
        <w:t>MeetPatientDemand</w:t>
      </w:r>
      <w:proofErr w:type="spellEnd"/>
      <w:r w:rsidRPr="002E7DC2">
        <w:rPr>
          <w:rFonts w:ascii="Calibri" w:eastAsia="Calibri" w:hAnsi="Calibri"/>
          <w:b/>
          <w:bCs/>
        </w:rPr>
        <w:t>]</w:t>
      </w:r>
    </w:p>
    <w:sectPr w:rsidR="00DA3F79" w:rsidRPr="00136428" w:rsidSect="00563AF4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288" w:footer="129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073B0" w14:textId="77777777" w:rsidR="008C26BE" w:rsidRDefault="008C26BE" w:rsidP="001776E0">
      <w:pPr>
        <w:spacing w:after="0" w:line="240" w:lineRule="auto"/>
      </w:pPr>
      <w:r>
        <w:separator/>
      </w:r>
    </w:p>
  </w:endnote>
  <w:endnote w:type="continuationSeparator" w:id="0">
    <w:p w14:paraId="3B88A915" w14:textId="77777777" w:rsidR="008C26BE" w:rsidRDefault="008C26BE" w:rsidP="00177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4-Accent6"/>
      <w:tblW w:w="5000" w:type="pct"/>
      <w:tblLook w:val="04A0" w:firstRow="1" w:lastRow="0" w:firstColumn="1" w:lastColumn="0" w:noHBand="0" w:noVBand="1"/>
    </w:tblPr>
    <w:tblGrid>
      <w:gridCol w:w="4681"/>
      <w:gridCol w:w="4669"/>
    </w:tblGrid>
    <w:tr w:rsidR="00DA3F79" w14:paraId="3D3BE140" w14:textId="77777777" w:rsidTr="008655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hRule="exact" w:val="11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686" w:type="dxa"/>
        </w:tcPr>
        <w:p w14:paraId="5943035D" w14:textId="67457DA2" w:rsidR="00DA3F79" w:rsidRDefault="00DA3F79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</w:tcPr>
        <w:p w14:paraId="7AE4F946" w14:textId="77777777" w:rsidR="00DA3F79" w:rsidRDefault="00DA3F79">
          <w:pPr>
            <w:pStyle w:val="Header"/>
            <w:tabs>
              <w:tab w:val="clear" w:pos="4680"/>
              <w:tab w:val="clear" w:pos="9360"/>
            </w:tabs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aps/>
              <w:sz w:val="18"/>
            </w:rPr>
          </w:pPr>
        </w:p>
      </w:tc>
    </w:tr>
    <w:tr w:rsidR="00DA3F79" w14:paraId="628B439C" w14:textId="77777777" w:rsidTr="008655E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686" w:type="dxa"/>
        </w:tcPr>
        <w:p w14:paraId="3D3D209A" w14:textId="3CA20352" w:rsidR="00DA3F79" w:rsidRDefault="00DA3F79">
          <w:pPr>
            <w:pStyle w:val="Footer"/>
            <w:tabs>
              <w:tab w:val="clear" w:pos="4680"/>
              <w:tab w:val="clear" w:pos="9360"/>
            </w:tabs>
            <w:rPr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</w:tcPr>
        <w:p w14:paraId="6D18914E" w14:textId="77777777" w:rsidR="00DA3F79" w:rsidRPr="00D631ED" w:rsidRDefault="00DA3F79">
          <w:pPr>
            <w:pStyle w:val="Footer"/>
            <w:tabs>
              <w:tab w:val="clear" w:pos="4680"/>
              <w:tab w:val="clear" w:pos="9360"/>
            </w:tabs>
            <w:jc w:val="right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caps/>
              <w:color w:val="808080" w:themeColor="background1" w:themeShade="80"/>
            </w:rPr>
          </w:pPr>
          <w:r w:rsidRPr="00E37C73">
            <w:rPr>
              <w:caps/>
              <w:color w:val="000000" w:themeColor="text1"/>
            </w:rPr>
            <w:fldChar w:fldCharType="begin"/>
          </w:r>
          <w:r w:rsidRPr="00E37C73">
            <w:rPr>
              <w:caps/>
              <w:color w:val="000000" w:themeColor="text1"/>
            </w:rPr>
            <w:instrText xml:space="preserve"> PAGE   \* MERGEFORMAT </w:instrText>
          </w:r>
          <w:r w:rsidRPr="00E37C73">
            <w:rPr>
              <w:caps/>
              <w:color w:val="000000" w:themeColor="text1"/>
            </w:rPr>
            <w:fldChar w:fldCharType="separate"/>
          </w:r>
          <w:r w:rsidRPr="00E37C73">
            <w:rPr>
              <w:caps/>
              <w:noProof/>
              <w:color w:val="000000" w:themeColor="text1"/>
            </w:rPr>
            <w:t>2</w:t>
          </w:r>
          <w:r w:rsidRPr="00E37C73">
            <w:rPr>
              <w:caps/>
              <w:noProof/>
              <w:color w:val="000000" w:themeColor="text1"/>
            </w:rPr>
            <w:fldChar w:fldCharType="end"/>
          </w:r>
        </w:p>
      </w:tc>
    </w:tr>
  </w:tbl>
  <w:p w14:paraId="5110DC35" w14:textId="77777777" w:rsidR="00DA3F79" w:rsidRDefault="00DA3F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39070418"/>
      <w:docPartObj>
        <w:docPartGallery w:val="Page Numbers (Bottom of Page)"/>
        <w:docPartUnique/>
      </w:docPartObj>
    </w:sdtPr>
    <w:sdtEndPr>
      <w:rPr>
        <w:rStyle w:val="PageNumber"/>
        <w:color w:val="000000" w:themeColor="text1"/>
      </w:rPr>
    </w:sdtEndPr>
    <w:sdtContent>
      <w:p w14:paraId="3D7CE7A7" w14:textId="2839AE97" w:rsidR="00D245CB" w:rsidRDefault="00D245CB" w:rsidP="00992CB4">
        <w:pPr>
          <w:pStyle w:val="Footer"/>
          <w:framePr w:wrap="none" w:vAnchor="text" w:hAnchor="margin" w:xAlign="right" w:y="1"/>
          <w:spacing w:before="48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BDBF8CA" w14:textId="3470DF62" w:rsidR="00D245CB" w:rsidRDefault="00D245CB" w:rsidP="008655ED">
    <w:pPr>
      <w:pStyle w:val="Footer"/>
      <w:spacing w:before="240"/>
      <w:ind w:right="360"/>
    </w:pPr>
    <w:r>
      <w:rPr>
        <w:noProof/>
      </w:rPr>
      <mc:AlternateContent>
        <mc:Choice Requires="wps">
          <w:drawing>
            <wp:inline distT="0" distB="0" distL="0" distR="0" wp14:anchorId="401C4333" wp14:editId="717B3B89">
              <wp:extent cx="5943600" cy="0"/>
              <wp:effectExtent l="0" t="38100" r="25400" b="38100"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1A448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240DFD2" id="Straight Connector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" strokecolor="#1a4480" strokeweight="6pt">
              <v:stroke joinstyle="miter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A7841" w14:textId="77777777" w:rsidR="008C26BE" w:rsidRDefault="008C26BE" w:rsidP="001776E0">
      <w:pPr>
        <w:spacing w:after="0" w:line="240" w:lineRule="auto"/>
      </w:pPr>
      <w:r>
        <w:separator/>
      </w:r>
    </w:p>
  </w:footnote>
  <w:footnote w:type="continuationSeparator" w:id="0">
    <w:p w14:paraId="34F2E759" w14:textId="77777777" w:rsidR="008C26BE" w:rsidRDefault="008C26BE" w:rsidP="00177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81F3" w14:textId="260A2111" w:rsidR="001776E0" w:rsidRDefault="001776E0">
    <w:pPr>
      <w:pStyle w:val="Header"/>
    </w:pPr>
  </w:p>
  <w:p w14:paraId="4E8773E8" w14:textId="11A1A8F4" w:rsidR="001776E0" w:rsidRDefault="001776E0">
    <w:pPr>
      <w:pStyle w:val="Header"/>
    </w:pPr>
  </w:p>
  <w:p w14:paraId="1440C8DA" w14:textId="580E30E9" w:rsidR="001776E0" w:rsidRDefault="001776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6374" w14:textId="106CEAEF" w:rsidR="00D41A4C" w:rsidRPr="00E9798D" w:rsidRDefault="008C5FB3" w:rsidP="00B12133">
    <w:pPr>
      <w:pStyle w:val="Header"/>
      <w:spacing w:before="440" w:after="240"/>
      <w:jc w:val="center"/>
      <w:rPr>
        <w:color w:val="ED7D31" w:themeColor="accent2"/>
      </w:rPr>
    </w:pPr>
    <w:r>
      <w:rPr>
        <w:noProof/>
      </w:rPr>
      <mc:AlternateContent>
        <mc:Choice Requires="wps">
          <w:drawing>
            <wp:inline distT="0" distB="0" distL="0" distR="0" wp14:anchorId="3D7D9702" wp14:editId="07507BF0">
              <wp:extent cx="5924550" cy="438150"/>
              <wp:effectExtent l="0" t="0" r="19050" b="1905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0" cy="43815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FA4C43" w14:textId="5EE79499" w:rsidR="008C5FB3" w:rsidRPr="007C45EE" w:rsidRDefault="008C5FB3" w:rsidP="008C5FB3">
                          <w:pPr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C45EE"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t>P</w:t>
                          </w: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t>rovider</w:t>
                          </w:r>
                          <w:r w:rsidRPr="007C45EE"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t xml:space="preserve"> Social Media Post Copy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7D970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466.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" fillcolor="#002060">
              <v:textbox>
                <w:txbxContent>
                  <w:p w14:paraId="77FA4C43" w14:textId="5EE79499" w:rsidR="008C5FB3" w:rsidRPr="007C45EE" w:rsidRDefault="008C5FB3" w:rsidP="008C5FB3">
                    <w:pPr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 w:rsidRPr="007C45EE">
                      <w:rPr>
                        <w:color w:val="FFFFFF" w:themeColor="background1"/>
                        <w:sz w:val="40"/>
                        <w:szCs w:val="40"/>
                      </w:rPr>
                      <w:t>P</w:t>
                    </w: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t>rovider</w:t>
                    </w:r>
                    <w:r w:rsidRPr="007C45EE">
                      <w:rPr>
                        <w:color w:val="FFFFFF" w:themeColor="background1"/>
                        <w:sz w:val="40"/>
                        <w:szCs w:val="40"/>
                      </w:rPr>
                      <w:t xml:space="preserve"> Social Media Post Copy</w:t>
                    </w:r>
                  </w:p>
                </w:txbxContent>
              </v:textbox>
              <w10:anchorlock/>
            </v:shape>
          </w:pict>
        </mc:Fallback>
      </mc:AlternateContent>
    </w:r>
    <w:r w:rsidR="00B12133" w:rsidRPr="00E9798D">
      <w:rPr>
        <w:noProof/>
        <w:color w:val="ED7D31" w:themeColor="accent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336E"/>
    <w:multiLevelType w:val="hybridMultilevel"/>
    <w:tmpl w:val="62D057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930A81"/>
    <w:multiLevelType w:val="hybridMultilevel"/>
    <w:tmpl w:val="63820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F3593"/>
    <w:multiLevelType w:val="hybridMultilevel"/>
    <w:tmpl w:val="2404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51E22"/>
    <w:multiLevelType w:val="hybridMultilevel"/>
    <w:tmpl w:val="85AA48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1531DA"/>
    <w:multiLevelType w:val="hybridMultilevel"/>
    <w:tmpl w:val="491E7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18A7"/>
    <w:multiLevelType w:val="hybridMultilevel"/>
    <w:tmpl w:val="80942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B60D4"/>
    <w:multiLevelType w:val="hybridMultilevel"/>
    <w:tmpl w:val="FF7E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65A81"/>
    <w:multiLevelType w:val="hybridMultilevel"/>
    <w:tmpl w:val="AF665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6056F"/>
    <w:multiLevelType w:val="hybridMultilevel"/>
    <w:tmpl w:val="41885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213497"/>
    <w:multiLevelType w:val="hybridMultilevel"/>
    <w:tmpl w:val="6AB2A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D65ED"/>
    <w:multiLevelType w:val="hybridMultilevel"/>
    <w:tmpl w:val="8A80D8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B23363"/>
    <w:multiLevelType w:val="hybridMultilevel"/>
    <w:tmpl w:val="74B84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65BE6"/>
    <w:multiLevelType w:val="hybridMultilevel"/>
    <w:tmpl w:val="84B6C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BB5A5D"/>
    <w:multiLevelType w:val="hybridMultilevel"/>
    <w:tmpl w:val="D2D01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D7408"/>
    <w:multiLevelType w:val="hybridMultilevel"/>
    <w:tmpl w:val="6264F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4F2D4D"/>
    <w:multiLevelType w:val="hybridMultilevel"/>
    <w:tmpl w:val="23C8F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81E3B"/>
    <w:multiLevelType w:val="hybridMultilevel"/>
    <w:tmpl w:val="E1F62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91E32"/>
    <w:multiLevelType w:val="hybridMultilevel"/>
    <w:tmpl w:val="18DAC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635C11"/>
    <w:multiLevelType w:val="hybridMultilevel"/>
    <w:tmpl w:val="91C22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10178E"/>
    <w:multiLevelType w:val="hybridMultilevel"/>
    <w:tmpl w:val="A2B21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526729">
    <w:abstractNumId w:val="5"/>
  </w:num>
  <w:num w:numId="2" w16cid:durableId="1707098845">
    <w:abstractNumId w:val="1"/>
  </w:num>
  <w:num w:numId="3" w16cid:durableId="1495220146">
    <w:abstractNumId w:val="11"/>
  </w:num>
  <w:num w:numId="4" w16cid:durableId="1302072450">
    <w:abstractNumId w:val="18"/>
  </w:num>
  <w:num w:numId="5" w16cid:durableId="790175829">
    <w:abstractNumId w:val="15"/>
  </w:num>
  <w:num w:numId="6" w16cid:durableId="1730036201">
    <w:abstractNumId w:val="13"/>
  </w:num>
  <w:num w:numId="7" w16cid:durableId="1487749283">
    <w:abstractNumId w:val="17"/>
  </w:num>
  <w:num w:numId="8" w16cid:durableId="423112072">
    <w:abstractNumId w:val="14"/>
  </w:num>
  <w:num w:numId="9" w16cid:durableId="1410805525">
    <w:abstractNumId w:val="12"/>
  </w:num>
  <w:num w:numId="10" w16cid:durableId="1428192217">
    <w:abstractNumId w:val="0"/>
  </w:num>
  <w:num w:numId="11" w16cid:durableId="1892884874">
    <w:abstractNumId w:val="3"/>
  </w:num>
  <w:num w:numId="12" w16cid:durableId="865481785">
    <w:abstractNumId w:val="10"/>
  </w:num>
  <w:num w:numId="13" w16cid:durableId="1225680855">
    <w:abstractNumId w:val="6"/>
  </w:num>
  <w:num w:numId="14" w16cid:durableId="356588352">
    <w:abstractNumId w:val="7"/>
  </w:num>
  <w:num w:numId="15" w16cid:durableId="419718925">
    <w:abstractNumId w:val="9"/>
  </w:num>
  <w:num w:numId="16" w16cid:durableId="1038042229">
    <w:abstractNumId w:val="4"/>
  </w:num>
  <w:num w:numId="17" w16cid:durableId="576786537">
    <w:abstractNumId w:val="8"/>
  </w:num>
  <w:num w:numId="18" w16cid:durableId="239218381">
    <w:abstractNumId w:val="16"/>
  </w:num>
  <w:num w:numId="19" w16cid:durableId="2087267290">
    <w:abstractNumId w:val="19"/>
  </w:num>
  <w:num w:numId="20" w16cid:durableId="954094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E0"/>
    <w:rsid w:val="0003473D"/>
    <w:rsid w:val="000C4699"/>
    <w:rsid w:val="00136428"/>
    <w:rsid w:val="00153FAA"/>
    <w:rsid w:val="0016370D"/>
    <w:rsid w:val="001776E0"/>
    <w:rsid w:val="001F26CA"/>
    <w:rsid w:val="001F7DD4"/>
    <w:rsid w:val="002857CB"/>
    <w:rsid w:val="003C2576"/>
    <w:rsid w:val="003D3957"/>
    <w:rsid w:val="00415FDF"/>
    <w:rsid w:val="004D7901"/>
    <w:rsid w:val="00505E30"/>
    <w:rsid w:val="00563AF4"/>
    <w:rsid w:val="00574858"/>
    <w:rsid w:val="006A651F"/>
    <w:rsid w:val="006E3442"/>
    <w:rsid w:val="007133A2"/>
    <w:rsid w:val="00740D15"/>
    <w:rsid w:val="00746A88"/>
    <w:rsid w:val="0084093C"/>
    <w:rsid w:val="008420F2"/>
    <w:rsid w:val="008655ED"/>
    <w:rsid w:val="00883114"/>
    <w:rsid w:val="008B28B0"/>
    <w:rsid w:val="008C26BE"/>
    <w:rsid w:val="008C5FB3"/>
    <w:rsid w:val="00911A0B"/>
    <w:rsid w:val="00992CB4"/>
    <w:rsid w:val="009E3BAB"/>
    <w:rsid w:val="00AE3ADB"/>
    <w:rsid w:val="00B12133"/>
    <w:rsid w:val="00B16BA7"/>
    <w:rsid w:val="00B52AE0"/>
    <w:rsid w:val="00C013BE"/>
    <w:rsid w:val="00CC5623"/>
    <w:rsid w:val="00D245CB"/>
    <w:rsid w:val="00D41A4C"/>
    <w:rsid w:val="00D46267"/>
    <w:rsid w:val="00D631ED"/>
    <w:rsid w:val="00DA3F79"/>
    <w:rsid w:val="00DE5221"/>
    <w:rsid w:val="00E37C73"/>
    <w:rsid w:val="00E9798D"/>
    <w:rsid w:val="00EF5A90"/>
    <w:rsid w:val="00F54E33"/>
    <w:rsid w:val="00F95D16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8DAF0"/>
  <w15:chartTrackingRefBased/>
  <w15:docId w15:val="{B2B4FDE2-DF3C-4DBD-A912-3B1AD69C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AE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6E0"/>
  </w:style>
  <w:style w:type="paragraph" w:styleId="Footer">
    <w:name w:val="footer"/>
    <w:basedOn w:val="Normal"/>
    <w:link w:val="FooterChar"/>
    <w:uiPriority w:val="99"/>
    <w:unhideWhenUsed/>
    <w:rsid w:val="00177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6E0"/>
  </w:style>
  <w:style w:type="paragraph" w:styleId="ListParagraph">
    <w:name w:val="List Paragraph"/>
    <w:basedOn w:val="Normal"/>
    <w:uiPriority w:val="34"/>
    <w:qFormat/>
    <w:rsid w:val="00DA3F7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DA3F7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DA3F79"/>
    <w:rPr>
      <w:color w:val="808080"/>
    </w:rPr>
  </w:style>
  <w:style w:type="character" w:styleId="Hyperlink">
    <w:name w:val="Hyperlink"/>
    <w:uiPriority w:val="99"/>
    <w:unhideWhenUsed/>
    <w:rsid w:val="008420F2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245CB"/>
  </w:style>
  <w:style w:type="table" w:styleId="GridTable4-Accent1">
    <w:name w:val="Grid Table 4 Accent 1"/>
    <w:basedOn w:val="TableNormal"/>
    <w:uiPriority w:val="49"/>
    <w:rsid w:val="008655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6">
    <w:name w:val="Grid Table 4 Accent 6"/>
    <w:basedOn w:val="TableNormal"/>
    <w:uiPriority w:val="49"/>
    <w:rsid w:val="008655E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Revision">
    <w:name w:val="Revision"/>
    <w:hidden/>
    <w:uiPriority w:val="99"/>
    <w:semiHidden/>
    <w:rsid w:val="00911A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54AB73DA1644E9CF97C01AE30A638" ma:contentTypeVersion="13" ma:contentTypeDescription="Create a new document." ma:contentTypeScope="" ma:versionID="1be8e5f2f156aea19650d5a7ce9c81c0">
  <xsd:schema xmlns:xsd="http://www.w3.org/2001/XMLSchema" xmlns:xs="http://www.w3.org/2001/XMLSchema" xmlns:p="http://schemas.microsoft.com/office/2006/metadata/properties" xmlns:ns2="1fffc51b-99a5-438c-b108-ceccf8b43143" xmlns:ns3="d247cac2-7323-4470-8552-e359c4776a52" targetNamespace="http://schemas.microsoft.com/office/2006/metadata/properties" ma:root="true" ma:fieldsID="ab0a8dc0b9447ccfbdbb83f8f70e15e1" ns2:_="" ns3:_="">
    <xsd:import namespace="1fffc51b-99a5-438c-b108-ceccf8b43143"/>
    <xsd:import namespace="d247cac2-7323-4470-8552-e359c4776a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fc51b-99a5-438c-b108-ceccf8b43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f23a83d1-3715-433c-9745-1e6d6e7d7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7cac2-7323-4470-8552-e359c4776a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5536568d-9aea-4929-9839-5ec5b0c9a274}" ma:internalName="TaxCatchAll" ma:showField="CatchAllData" ma:web="d247cac2-7323-4470-8552-e359c4776a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ffc51b-99a5-438c-b108-ceccf8b43143">
      <Terms xmlns="http://schemas.microsoft.com/office/infopath/2007/PartnerControls"/>
    </lcf76f155ced4ddcb4097134ff3c332f>
    <TaxCatchAll xmlns="d247cac2-7323-4470-8552-e359c4776a52" xsi:nil="true"/>
  </documentManagement>
</p:properties>
</file>

<file path=customXml/itemProps1.xml><?xml version="1.0" encoding="utf-8"?>
<ds:datastoreItem xmlns:ds="http://schemas.openxmlformats.org/officeDocument/2006/customXml" ds:itemID="{2B3173FB-1A8A-4D84-923D-FA5E0755CF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FD5762-7E33-4B49-BF6C-9435692A3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ffc51b-99a5-438c-b108-ceccf8b43143"/>
    <ds:schemaRef ds:uri="d247cac2-7323-4470-8552-e359c4776a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39D9E4-9F6D-4339-AB3A-8203B2DDB6F5}">
  <ds:schemaRefs>
    <ds:schemaRef ds:uri="http://schemas.microsoft.com/office/2006/metadata/properties"/>
    <ds:schemaRef ds:uri="http://schemas.microsoft.com/office/infopath/2007/PartnerControls"/>
    <ds:schemaRef ds:uri="1fffc51b-99a5-438c-b108-ceccf8b43143"/>
    <ds:schemaRef ds:uri="d247cac2-7323-4470-8552-e359c4776a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HRSA Telehealth Provider Social Media Posts</vt:lpstr>
    </vt:vector>
  </TitlesOfParts>
  <Manager/>
  <Company>Health Resources &amp; Services Administration</Company>
  <LinksUpToDate>false</LinksUpToDate>
  <CharactersWithSpaces>950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HRSA Telehealth Provider Social Media Posts</dc:title>
  <dc:subject/>
  <dc:creator>Health Resources &amp; Services Administration</dc:creator>
  <cp:keywords>Health care providers, social media, telehealth, Telehealth.HHS.gov, telehealth best practice guides, #TurnToTelehealth, telehealth reimbursement, telehealth billing, telehealth policy, improving your telehealth workflow, prepare patients for telehealth</cp:keywords>
  <dc:description/>
  <cp:lastModifiedBy>Zana</cp:lastModifiedBy>
  <cp:revision>2</cp:revision>
  <dcterms:created xsi:type="dcterms:W3CDTF">2022-07-21T21:18:00Z</dcterms:created>
  <dcterms:modified xsi:type="dcterms:W3CDTF">2022-07-21T21:18:00Z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0x01010015954AB73DA1644E9CF97C01AE30A638</vt:lpwstr>
  </property>
</Properties>
</file>